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T Sans Narrow" w:cs="PT Sans Narrow" w:eastAsia="PT Sans Narrow" w:hAnsi="PT Sans Narrow"/>
          <w:b w:val="1"/>
          <w:sz w:val="48"/>
          <w:szCs w:val="48"/>
        </w:rPr>
      </w:pPr>
      <w:r w:rsidDel="00000000" w:rsidR="00000000" w:rsidRPr="00000000">
        <w:rPr>
          <w:rFonts w:ascii="PT Sans Narrow" w:cs="PT Sans Narrow" w:eastAsia="PT Sans Narrow" w:hAnsi="PT Sans Narrow"/>
          <w:b w:val="1"/>
          <w:sz w:val="48"/>
          <w:szCs w:val="48"/>
        </w:rPr>
        <w:drawing>
          <wp:inline distB="114300" distT="114300" distL="114300" distR="114300">
            <wp:extent cx="2538413" cy="17054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38413" cy="17054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PT Sans Narrow" w:cs="PT Sans Narrow" w:eastAsia="PT Sans Narrow" w:hAnsi="PT Sans Narrow"/>
          <w:b w:val="1"/>
          <w:color w:val="48b95b"/>
          <w:sz w:val="72"/>
          <w:szCs w:val="72"/>
        </w:rPr>
      </w:pPr>
      <w:r w:rsidDel="00000000" w:rsidR="00000000" w:rsidRPr="00000000">
        <w:rPr>
          <w:rFonts w:ascii="PT Sans Narrow" w:cs="PT Sans Narrow" w:eastAsia="PT Sans Narrow" w:hAnsi="PT Sans Narrow"/>
          <w:b w:val="1"/>
          <w:color w:val="48b95b"/>
          <w:sz w:val="72"/>
          <w:szCs w:val="72"/>
          <w:rtl w:val="0"/>
        </w:rPr>
        <w:t xml:space="preserve">PROYECTO ICLEC </w:t>
      </w:r>
    </w:p>
    <w:p w:rsidR="00000000" w:rsidDel="00000000" w:rsidP="00000000" w:rsidRDefault="00000000" w:rsidRPr="00000000" w14:paraId="00000003">
      <w:pPr>
        <w:jc w:val="center"/>
        <w:rPr>
          <w:rFonts w:ascii="PT Sans Narrow" w:cs="PT Sans Narrow" w:eastAsia="PT Sans Narrow" w:hAnsi="PT Sans Narrow"/>
          <w:b w:val="1"/>
          <w:color w:val="48b95b"/>
          <w:sz w:val="36"/>
          <w:szCs w:val="36"/>
        </w:rPr>
      </w:pPr>
      <w:r w:rsidDel="00000000" w:rsidR="00000000" w:rsidRPr="00000000">
        <w:rPr>
          <w:rFonts w:ascii="PT Sans Narrow" w:cs="PT Sans Narrow" w:eastAsia="PT Sans Narrow" w:hAnsi="PT Sans Narrow"/>
          <w:b w:val="1"/>
          <w:color w:val="48b95b"/>
          <w:sz w:val="36"/>
          <w:szCs w:val="36"/>
          <w:rtl w:val="0"/>
        </w:rPr>
        <w:t xml:space="preserve">(Igualdad de Condiciones de Lectura)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La promoción de la igualdad de condiciones de lectura es un proyecto que busca posibilitar actividades cotidianas en un plano de igualdad entre personas no videntes, con dificultades de lectura y en la condición del espectro autista a través de medidas de inclusión en la vida pública.</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Argentina ha adherido a la Convención Internacional de Naciones Unidas sobre los derechos de las Personas con Discapacidad. A raíz de su ratificación e incorporación a nuestro ordenamiento jurídico - a partir de la promulgación de la ley 26.378 el día 6 de Junio de 2008 - lo sancionado allí tiene rango constitucional, es decir está incluso por encima de las leyes.</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esa convención Internacional se afirma en su artículo 9, referido a la Accesibilidad que los Estados </w:t>
      </w:r>
    </w:p>
    <w:p w:rsidR="00000000" w:rsidDel="00000000" w:rsidP="00000000" w:rsidRDefault="00000000" w:rsidRPr="00000000" w14:paraId="0000000A">
      <w:pPr>
        <w:jc w:val="both"/>
        <w:rPr>
          <w:rFonts w:ascii="Montserrat" w:cs="Montserrat" w:eastAsia="Montserrat" w:hAnsi="Montserrat"/>
          <w:i w:val="1"/>
          <w:sz w:val="18"/>
          <w:szCs w:val="18"/>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w:t>
      </w:r>
    </w:p>
    <w:p w:rsidR="00000000" w:rsidDel="00000000" w:rsidP="00000000" w:rsidRDefault="00000000" w:rsidRPr="00000000" w14:paraId="0000000C">
      <w:pPr>
        <w:jc w:val="both"/>
        <w:rPr>
          <w:rFonts w:ascii="Montserrat" w:cs="Montserrat" w:eastAsia="Montserrat" w:hAnsi="Montserrat"/>
          <w:i w:val="1"/>
          <w:sz w:val="18"/>
          <w:szCs w:val="18"/>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Los edificios, las vías públicas, el transporte y otras instalaciones exteriores e interiores como escuelas, viviendas, instalaciones médicas y lugares de trabajo;</w:t>
      </w:r>
    </w:p>
    <w:p w:rsidR="00000000" w:rsidDel="00000000" w:rsidP="00000000" w:rsidRDefault="00000000" w:rsidRPr="00000000" w14:paraId="0000000E">
      <w:pPr>
        <w:numPr>
          <w:ilvl w:val="0"/>
          <w:numId w:val="1"/>
        </w:numPr>
        <w:ind w:left="720" w:hanging="360"/>
        <w:jc w:val="both"/>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Los servicios de información, comunicaciones y de otro tipo, incluidos los servicios electrónicos y de emergencia.</w:t>
      </w:r>
    </w:p>
    <w:p w:rsidR="00000000" w:rsidDel="00000000" w:rsidP="00000000" w:rsidRDefault="00000000" w:rsidRPr="00000000" w14:paraId="0000000F">
      <w:pPr>
        <w:ind w:left="720" w:firstLine="0"/>
        <w:jc w:val="both"/>
        <w:rPr>
          <w:rFonts w:ascii="Montserrat" w:cs="Montserrat" w:eastAsia="Montserrat" w:hAnsi="Montserrat"/>
          <w:i w:val="1"/>
          <w:sz w:val="18"/>
          <w:szCs w:val="18"/>
        </w:rPr>
      </w:pPr>
      <w:r w:rsidDel="00000000" w:rsidR="00000000" w:rsidRPr="00000000">
        <w:rPr>
          <w:rtl w:val="0"/>
        </w:rPr>
      </w:r>
    </w:p>
    <w:p w:rsidR="00000000" w:rsidDel="00000000" w:rsidP="00000000" w:rsidRDefault="00000000" w:rsidRPr="00000000" w14:paraId="00000010">
      <w:pPr>
        <w:ind w:left="0" w:firstLine="0"/>
        <w:jc w:val="both"/>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Los Estados Partes también adoptarán las medidas pertinentes para:</w:t>
      </w:r>
    </w:p>
    <w:p w:rsidR="00000000" w:rsidDel="00000000" w:rsidP="00000000" w:rsidRDefault="00000000" w:rsidRPr="00000000" w14:paraId="00000011">
      <w:pPr>
        <w:ind w:left="0" w:firstLine="0"/>
        <w:jc w:val="both"/>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Desarrollar, promulgar y supervisar la aplicación de normas mínimas y directrices sobre la accesibilidad de las instalaciones y los servicios abiertos al público o de uso público;</w:t>
      </w:r>
    </w:p>
    <w:p w:rsidR="00000000" w:rsidDel="00000000" w:rsidP="00000000" w:rsidRDefault="00000000" w:rsidRPr="00000000" w14:paraId="00000012">
      <w:pPr>
        <w:numPr>
          <w:ilvl w:val="0"/>
          <w:numId w:val="2"/>
        </w:numPr>
        <w:ind w:left="720" w:hanging="360"/>
        <w:jc w:val="both"/>
        <w:rPr>
          <w:rFonts w:ascii="Montserrat" w:cs="Montserrat" w:eastAsia="Montserrat" w:hAnsi="Montserrat"/>
          <w:b w:val="1"/>
          <w:i w:val="1"/>
          <w:sz w:val="18"/>
          <w:szCs w:val="18"/>
        </w:rPr>
      </w:pPr>
      <w:r w:rsidDel="00000000" w:rsidR="00000000" w:rsidRPr="00000000">
        <w:rPr>
          <w:rFonts w:ascii="Montserrat" w:cs="Montserrat" w:eastAsia="Montserrat" w:hAnsi="Montserrat"/>
          <w:b w:val="1"/>
          <w:i w:val="1"/>
          <w:sz w:val="18"/>
          <w:szCs w:val="18"/>
          <w:rtl w:val="0"/>
        </w:rPr>
        <w:t xml:space="preserve">Asegurar que las entidades privadas que proporcionan instalaciones y servicios abiertos al público o de uso público tengan en cuenta todos los aspectos de su accesibilidad para las personas con discapacidad;</w:t>
      </w:r>
    </w:p>
    <w:p w:rsidR="00000000" w:rsidDel="00000000" w:rsidP="00000000" w:rsidRDefault="00000000" w:rsidRPr="00000000" w14:paraId="00000013">
      <w:pPr>
        <w:numPr>
          <w:ilvl w:val="0"/>
          <w:numId w:val="2"/>
        </w:numPr>
        <w:ind w:left="720" w:hanging="360"/>
        <w:jc w:val="both"/>
        <w:rPr>
          <w:rFonts w:ascii="Montserrat" w:cs="Montserrat" w:eastAsia="Montserrat" w:hAnsi="Montserrat"/>
          <w:b w:val="1"/>
          <w:i w:val="1"/>
          <w:sz w:val="18"/>
          <w:szCs w:val="18"/>
        </w:rPr>
      </w:pPr>
      <w:r w:rsidDel="00000000" w:rsidR="00000000" w:rsidRPr="00000000">
        <w:rPr>
          <w:rFonts w:ascii="Montserrat" w:cs="Montserrat" w:eastAsia="Montserrat" w:hAnsi="Montserrat"/>
          <w:b w:val="1"/>
          <w:i w:val="1"/>
          <w:sz w:val="18"/>
          <w:szCs w:val="18"/>
          <w:rtl w:val="0"/>
        </w:rPr>
        <w:t xml:space="preserve">Ofrecer formación a todas las personas involucradas en los problemas de accesibilidad a que se enfrentan las personas con discapacidad;</w:t>
      </w:r>
    </w:p>
    <w:p w:rsidR="00000000" w:rsidDel="00000000" w:rsidP="00000000" w:rsidRDefault="00000000" w:rsidRPr="00000000" w14:paraId="00000014">
      <w:pPr>
        <w:numPr>
          <w:ilvl w:val="0"/>
          <w:numId w:val="2"/>
        </w:numPr>
        <w:ind w:left="720" w:hanging="360"/>
        <w:jc w:val="both"/>
        <w:rPr>
          <w:rFonts w:ascii="Montserrat" w:cs="Montserrat" w:eastAsia="Montserrat" w:hAnsi="Montserrat"/>
          <w:b w:val="1"/>
          <w:i w:val="1"/>
          <w:sz w:val="18"/>
          <w:szCs w:val="18"/>
        </w:rPr>
      </w:pPr>
      <w:r w:rsidDel="00000000" w:rsidR="00000000" w:rsidRPr="00000000">
        <w:rPr>
          <w:rFonts w:ascii="Montserrat" w:cs="Montserrat" w:eastAsia="Montserrat" w:hAnsi="Montserrat"/>
          <w:b w:val="1"/>
          <w:i w:val="1"/>
          <w:sz w:val="18"/>
          <w:szCs w:val="18"/>
          <w:rtl w:val="0"/>
        </w:rPr>
        <w:t xml:space="preserve">Dotar a los edificios y otras instalaciones abiertas al público de señalización en Braille y en formatos de fácil lectura y comprensión;</w:t>
      </w:r>
    </w:p>
    <w:p w:rsidR="00000000" w:rsidDel="00000000" w:rsidP="00000000" w:rsidRDefault="00000000" w:rsidRPr="00000000" w14:paraId="00000015">
      <w:pPr>
        <w:numPr>
          <w:ilvl w:val="0"/>
          <w:numId w:val="2"/>
        </w:numPr>
        <w:ind w:left="720" w:hanging="360"/>
        <w:jc w:val="both"/>
        <w:rPr>
          <w:rFonts w:ascii="Montserrat" w:cs="Montserrat" w:eastAsia="Montserrat" w:hAnsi="Montserrat"/>
          <w:b w:val="1"/>
          <w:i w:val="1"/>
          <w:sz w:val="18"/>
          <w:szCs w:val="18"/>
        </w:rPr>
      </w:pPr>
      <w:r w:rsidDel="00000000" w:rsidR="00000000" w:rsidRPr="00000000">
        <w:rPr>
          <w:rFonts w:ascii="Montserrat" w:cs="Montserrat" w:eastAsia="Montserrat" w:hAnsi="Montserrat"/>
          <w:b w:val="1"/>
          <w:i w:val="1"/>
          <w:sz w:val="18"/>
          <w:szCs w:val="18"/>
          <w:rtl w:val="0"/>
        </w:rPr>
        <w:t xml:space="preserve">Ofrecer formas de asistencia humana o animal e intermediarios, incluidos guías, lectores e intérpretes profesionales de la lengua de señas, para facilitar el acceso a edificios y otras instalaciones abiertas al público;</w:t>
      </w:r>
    </w:p>
    <w:p w:rsidR="00000000" w:rsidDel="00000000" w:rsidP="00000000" w:rsidRDefault="00000000" w:rsidRPr="00000000" w14:paraId="00000016">
      <w:pPr>
        <w:numPr>
          <w:ilvl w:val="0"/>
          <w:numId w:val="2"/>
        </w:numPr>
        <w:ind w:left="720" w:hanging="360"/>
        <w:jc w:val="both"/>
        <w:rPr>
          <w:rFonts w:ascii="Montserrat" w:cs="Montserrat" w:eastAsia="Montserrat" w:hAnsi="Montserrat"/>
          <w:b w:val="1"/>
          <w:i w:val="1"/>
          <w:sz w:val="18"/>
          <w:szCs w:val="18"/>
        </w:rPr>
      </w:pPr>
      <w:r w:rsidDel="00000000" w:rsidR="00000000" w:rsidRPr="00000000">
        <w:rPr>
          <w:rFonts w:ascii="Montserrat" w:cs="Montserrat" w:eastAsia="Montserrat" w:hAnsi="Montserrat"/>
          <w:b w:val="1"/>
          <w:i w:val="1"/>
          <w:sz w:val="18"/>
          <w:szCs w:val="18"/>
          <w:rtl w:val="0"/>
        </w:rPr>
        <w:t xml:space="preserve">Promover otras formas adecuadas de asistencia y apoyo a las personas con discapacidad para asegurar su acceso a la información;</w:t>
      </w:r>
    </w:p>
    <w:p w:rsidR="00000000" w:rsidDel="00000000" w:rsidP="00000000" w:rsidRDefault="00000000" w:rsidRPr="00000000" w14:paraId="00000017">
      <w:pPr>
        <w:numPr>
          <w:ilvl w:val="0"/>
          <w:numId w:val="2"/>
        </w:numPr>
        <w:ind w:left="720" w:hanging="360"/>
        <w:jc w:val="both"/>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Promover el acceso de las personas con discapacidad a los nuevos sistemas y tecnologías de la información y las comunicaciones, incluida Internet;</w:t>
      </w:r>
    </w:p>
    <w:p w:rsidR="00000000" w:rsidDel="00000000" w:rsidP="00000000" w:rsidRDefault="00000000" w:rsidRPr="00000000" w14:paraId="00000018">
      <w:pPr>
        <w:numPr>
          <w:ilvl w:val="0"/>
          <w:numId w:val="2"/>
        </w:numPr>
        <w:ind w:left="720" w:hanging="360"/>
        <w:jc w:val="both"/>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Promover el diseño, el desarrollo, la producción y la distribución de sistemas y tecnologías de la información y las comunicaciones accesibles en una etapa temprana, a fin de que estos sistemas y tecnologías sean accesibles al menor costo.”</w:t>
      </w:r>
    </w:p>
    <w:p w:rsidR="00000000" w:rsidDel="00000000" w:rsidP="00000000" w:rsidRDefault="00000000" w:rsidRPr="00000000" w14:paraId="00000019">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 que busca este proyecto es garantizar el derecho a la información en igualdad de condiciones y el ejercicio de la vida pública de las personas con dificultades para leer, comprender o interactuar con las informaciones orientadoras (menúes, señaléticas o señalizaciones) que habitan el espacio público.</w:t>
      </w:r>
    </w:p>
    <w:p w:rsidR="00000000" w:rsidDel="00000000" w:rsidP="00000000" w:rsidRDefault="00000000" w:rsidRPr="00000000" w14:paraId="0000001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proyecto intenta generar conciencia y promover la obligatoriedad de ofrecer cartas y menúes en restaurantes, cafés, confiterías y negocios afines, con: </w:t>
      </w:r>
      <w:r w:rsidDel="00000000" w:rsidR="00000000" w:rsidRPr="00000000">
        <w:rPr>
          <w:rFonts w:ascii="Montserrat" w:cs="Montserrat" w:eastAsia="Montserrat" w:hAnsi="Montserrat"/>
          <w:b w:val="1"/>
          <w:rtl w:val="0"/>
        </w:rPr>
        <w:t xml:space="preserve">1) tipografía Braille, 2) Con la utilización de escritura macrotipo y 3) Con Pictogramas descriptivos acordes a personas en la Condición del Espectro Autista</w:t>
      </w:r>
      <w:r w:rsidDel="00000000" w:rsidR="00000000" w:rsidRPr="00000000">
        <w:rPr>
          <w:rFonts w:ascii="Montserrat" w:cs="Montserrat" w:eastAsia="Montserrat" w:hAnsi="Montserrat"/>
          <w:rtl w:val="0"/>
        </w:rPr>
        <w:t xml:space="preserve">, a efectos de posibilitar la comprensión a personas no videntes, con graves limitaciones de visión, analfabetos y también personas con dificultades de lectura o comprensión de letras.</w:t>
      </w:r>
    </w:p>
    <w:p w:rsidR="00000000" w:rsidDel="00000000" w:rsidP="00000000" w:rsidRDefault="00000000" w:rsidRPr="00000000" w14:paraId="0000001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 la misma forma exigir a los estados nacionales, provinciales y municipales en todos sus poderes que garanticen a través de señaléticas específicas la comprensión de personas con discapacidades de lectura o comprensión de forma de garantizar su plena inclusión.</w:t>
      </w:r>
    </w:p>
    <w:p w:rsidR="00000000" w:rsidDel="00000000" w:rsidP="00000000" w:rsidRDefault="00000000" w:rsidRPr="00000000" w14:paraId="0000002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jc w:val="center"/>
        <w:rPr>
          <w:rFonts w:ascii="PT Sans Narrow" w:cs="PT Sans Narrow" w:eastAsia="PT Sans Narrow" w:hAnsi="PT Sans Narrow"/>
          <w:b w:val="1"/>
          <w:color w:val="48b95b"/>
          <w:sz w:val="60"/>
          <w:szCs w:val="60"/>
        </w:rPr>
      </w:pPr>
      <w:r w:rsidDel="00000000" w:rsidR="00000000" w:rsidRPr="00000000">
        <w:rPr>
          <w:rFonts w:ascii="PT Sans Narrow" w:cs="PT Sans Narrow" w:eastAsia="PT Sans Narrow" w:hAnsi="PT Sans Narrow"/>
          <w:b w:val="1"/>
          <w:color w:val="48b95b"/>
          <w:sz w:val="60"/>
          <w:szCs w:val="60"/>
          <w:rtl w:val="0"/>
        </w:rPr>
        <w:t xml:space="preserve">ANEXO 1</w:t>
      </w:r>
    </w:p>
    <w:p w:rsidR="00000000" w:rsidDel="00000000" w:rsidP="00000000" w:rsidRDefault="00000000" w:rsidRPr="00000000" w14:paraId="00000025">
      <w:pPr>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6">
      <w:pPr>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PROYECTO DE ORDENANZA DE IGUALDAD DE CONDICIONES DE LECTURA</w:t>
      </w:r>
    </w:p>
    <w:p w:rsidR="00000000" w:rsidDel="00000000" w:rsidP="00000000" w:rsidRDefault="00000000" w:rsidRPr="00000000" w14:paraId="00000027">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8">
      <w:pPr>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Concejo Municipal:</w:t>
      </w:r>
    </w:p>
    <w:p w:rsidR="00000000" w:rsidDel="00000000" w:rsidP="00000000" w:rsidRDefault="00000000" w:rsidRPr="00000000" w14:paraId="00000029">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A">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Vuestra Comisión de ................ ha tomado en consideración el proyecto de Ordenanza presentado por el Concejal .............., en el cual establece la obligatoriedad de ofrecer cartas y menúes en restaurantes, cafés, etc. con tipografía Braille, Tipografía ampliada y pictogramas.</w:t>
      </w:r>
    </w:p>
    <w:p w:rsidR="00000000" w:rsidDel="00000000" w:rsidP="00000000" w:rsidRDefault="00000000" w:rsidRPr="00000000" w14:paraId="0000002B">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C">
      <w:pPr>
        <w:jc w:val="both"/>
        <w:rPr>
          <w:rFonts w:ascii="Courier New" w:cs="Courier New" w:eastAsia="Courier New" w:hAnsi="Courier New"/>
        </w:rPr>
      </w:pPr>
      <w:r w:rsidDel="00000000" w:rsidR="00000000" w:rsidRPr="00000000">
        <w:rPr>
          <w:rFonts w:ascii="Courier New" w:cs="Courier New" w:eastAsia="Courier New" w:hAnsi="Courier New"/>
          <w:b w:val="1"/>
          <w:rtl w:val="0"/>
        </w:rPr>
        <w:t xml:space="preserve">Visto:</w:t>
      </w:r>
      <w:r w:rsidDel="00000000" w:rsidR="00000000" w:rsidRPr="00000000">
        <w:rPr>
          <w:rFonts w:ascii="Courier New" w:cs="Courier New" w:eastAsia="Courier New" w:hAnsi="Courier New"/>
          <w:rtl w:val="0"/>
        </w:rPr>
        <w:t xml:space="preserve"> La necesidad de posibilitar actividades cotidianas en un plano de igualdad entre personas no videntes y en la condición del espectro autista y otros vecinos de la ciudad.</w:t>
      </w:r>
    </w:p>
    <w:p w:rsidR="00000000" w:rsidDel="00000000" w:rsidP="00000000" w:rsidRDefault="00000000" w:rsidRPr="00000000" w14:paraId="0000002D">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E">
      <w:pPr>
        <w:jc w:val="both"/>
        <w:rPr>
          <w:rFonts w:ascii="Courier New" w:cs="Courier New" w:eastAsia="Courier New" w:hAnsi="Courier New"/>
        </w:rPr>
      </w:pPr>
      <w:r w:rsidDel="00000000" w:rsidR="00000000" w:rsidRPr="00000000">
        <w:rPr>
          <w:rFonts w:ascii="Courier New" w:cs="Courier New" w:eastAsia="Courier New" w:hAnsi="Courier New"/>
          <w:b w:val="1"/>
          <w:rtl w:val="0"/>
        </w:rPr>
        <w:t xml:space="preserve">Y Considerando:</w:t>
      </w:r>
      <w:r w:rsidDel="00000000" w:rsidR="00000000" w:rsidRPr="00000000">
        <w:rPr>
          <w:rFonts w:ascii="Courier New" w:cs="Courier New" w:eastAsia="Courier New" w:hAnsi="Courier New"/>
          <w:rtl w:val="0"/>
        </w:rPr>
        <w:t xml:space="preserve"> Que en tal sentido cabe proporcionar medios específicos para que en lugares donde se expenden alimentos, tales como restaurantes, cafés, bares, y confiterías, las personas no videntes y en la condición del espectro autista tengan derecho a ejercer su opción mediante la lectura de la carta menú en sistema Braille o de pictogramas.</w:t>
      </w:r>
    </w:p>
    <w:p w:rsidR="00000000" w:rsidDel="00000000" w:rsidP="00000000" w:rsidRDefault="00000000" w:rsidRPr="00000000" w14:paraId="0000002F">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0">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Que de igual forma corresponde poner a disposición también para aquellos que tienen graves limitaciones en su visión, cartas y menúes con su escritura en macrotipo, aptas de ser legibles por estas personas.</w:t>
      </w:r>
    </w:p>
    <w:p w:rsidR="00000000" w:rsidDel="00000000" w:rsidP="00000000" w:rsidRDefault="00000000" w:rsidRPr="00000000" w14:paraId="00000031">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2">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Que también el estado municipal en todos sus poderes debe avanzar en esa dirección de garantizar la información en igualdad de condiciones se obligará a ofrecer señaléticas adecuadas en sus dependencias.</w:t>
      </w:r>
    </w:p>
    <w:p w:rsidR="00000000" w:rsidDel="00000000" w:rsidP="00000000" w:rsidRDefault="00000000" w:rsidRPr="00000000" w14:paraId="00000033">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4">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Que estas facilidades existen ya en otras ciudades del país y garantizan una opción de integración en el goce y disfrute de los derechos de todas las personas por igual.</w:t>
      </w:r>
    </w:p>
    <w:p w:rsidR="00000000" w:rsidDel="00000000" w:rsidP="00000000" w:rsidRDefault="00000000" w:rsidRPr="00000000" w14:paraId="00000035">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6">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Es por lo precedentemente expuesto, que esta Comisión, propone para su aprobación, el siguiente proyecto de:</w:t>
      </w:r>
    </w:p>
    <w:p w:rsidR="00000000" w:rsidDel="00000000" w:rsidP="00000000" w:rsidRDefault="00000000" w:rsidRPr="00000000" w14:paraId="00000037">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8">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ORDENANZA</w:t>
      </w:r>
    </w:p>
    <w:p w:rsidR="00000000" w:rsidDel="00000000" w:rsidP="00000000" w:rsidRDefault="00000000" w:rsidRPr="00000000" w14:paraId="00000039">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A">
      <w:pPr>
        <w:jc w:val="both"/>
        <w:rPr>
          <w:rFonts w:ascii="Courier New" w:cs="Courier New" w:eastAsia="Courier New" w:hAnsi="Courier New"/>
        </w:rPr>
      </w:pPr>
      <w:r w:rsidDel="00000000" w:rsidR="00000000" w:rsidRPr="00000000">
        <w:rPr>
          <w:rFonts w:ascii="Courier New" w:cs="Courier New" w:eastAsia="Courier New" w:hAnsi="Courier New"/>
          <w:b w:val="1"/>
          <w:rtl w:val="0"/>
        </w:rPr>
        <w:t xml:space="preserve">ARTÍCULO PRIMERO.-</w:t>
      </w:r>
      <w:r w:rsidDel="00000000" w:rsidR="00000000" w:rsidRPr="00000000">
        <w:rPr>
          <w:rFonts w:ascii="Courier New" w:cs="Courier New" w:eastAsia="Courier New" w:hAnsi="Courier New"/>
          <w:rtl w:val="0"/>
        </w:rPr>
        <w:t xml:space="preserve"> Establécese la obligatoriedad de ofrecer cartas y menúes en restaurantes, cafés, confiterías y negocios afines, con: 1) tipografía Braille, 2) Con la utilización de escritura macrotipo y 3) Con Pictogramas descriptivos acordes a personas en la Condición del Espectro Autista, a efectos de posibilitar la comprensión a personas no videntes, con graves limitaciones de visión, analfabetos y también personas con dificultades de lectura o comprensión de letras.</w:t>
      </w:r>
    </w:p>
    <w:p w:rsidR="00000000" w:rsidDel="00000000" w:rsidP="00000000" w:rsidRDefault="00000000" w:rsidRPr="00000000" w14:paraId="0000003B">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C">
      <w:pPr>
        <w:jc w:val="both"/>
        <w:rPr>
          <w:rFonts w:ascii="Courier New" w:cs="Courier New" w:eastAsia="Courier New" w:hAnsi="Courier New"/>
        </w:rPr>
      </w:pPr>
      <w:r w:rsidDel="00000000" w:rsidR="00000000" w:rsidRPr="00000000">
        <w:rPr>
          <w:rFonts w:ascii="Courier New" w:cs="Courier New" w:eastAsia="Courier New" w:hAnsi="Courier New"/>
          <w:b w:val="1"/>
          <w:rtl w:val="0"/>
        </w:rPr>
        <w:t xml:space="preserve">ARTÍCULO SEGUNDO.-</w:t>
      </w:r>
      <w:r w:rsidDel="00000000" w:rsidR="00000000" w:rsidRPr="00000000">
        <w:rPr>
          <w:rFonts w:ascii="Courier New" w:cs="Courier New" w:eastAsia="Courier New" w:hAnsi="Courier New"/>
          <w:rtl w:val="0"/>
        </w:rPr>
        <w:t xml:space="preserve"> Las cartas y menúes del </w:t>
      </w:r>
      <w:r w:rsidDel="00000000" w:rsidR="00000000" w:rsidRPr="00000000">
        <w:rPr>
          <w:rFonts w:ascii="Courier New" w:cs="Courier New" w:eastAsia="Courier New" w:hAnsi="Courier New"/>
          <w:b w:val="1"/>
          <w:rtl w:val="0"/>
        </w:rPr>
        <w:t xml:space="preserve">ARTÍCULO PRIMERO</w:t>
      </w:r>
      <w:r w:rsidDel="00000000" w:rsidR="00000000" w:rsidRPr="00000000">
        <w:rPr>
          <w:rFonts w:ascii="Courier New" w:cs="Courier New" w:eastAsia="Courier New" w:hAnsi="Courier New"/>
          <w:rtl w:val="0"/>
        </w:rPr>
        <w:t xml:space="preserve">,deberán encontrarse actualizadas, conteniendo el nombre o denominación del plato, bebida, precio y su existencia deberá ser no menor de 2 (dos) unidades por local.</w:t>
      </w:r>
    </w:p>
    <w:p w:rsidR="00000000" w:rsidDel="00000000" w:rsidP="00000000" w:rsidRDefault="00000000" w:rsidRPr="00000000" w14:paraId="0000003D">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E">
      <w:pPr>
        <w:jc w:val="both"/>
        <w:rPr>
          <w:rFonts w:ascii="Courier New" w:cs="Courier New" w:eastAsia="Courier New" w:hAnsi="Courier New"/>
        </w:rPr>
      </w:pPr>
      <w:r w:rsidDel="00000000" w:rsidR="00000000" w:rsidRPr="00000000">
        <w:rPr>
          <w:rFonts w:ascii="Courier New" w:cs="Courier New" w:eastAsia="Courier New" w:hAnsi="Courier New"/>
          <w:b w:val="1"/>
          <w:rtl w:val="0"/>
        </w:rPr>
        <w:t xml:space="preserve">ARTÍCULO TERCERO.-</w:t>
      </w:r>
      <w:r w:rsidDel="00000000" w:rsidR="00000000" w:rsidRPr="00000000">
        <w:rPr>
          <w:rFonts w:ascii="Courier New" w:cs="Courier New" w:eastAsia="Courier New" w:hAnsi="Courier New"/>
          <w:rtl w:val="0"/>
        </w:rPr>
        <w:t xml:space="preserve"> Así mismo el estado municipal en todos sus poderes debe garantizar señaléticas adecuadas para el acceso de la población antes definida en igualdad de condiciones.</w:t>
      </w:r>
    </w:p>
    <w:p w:rsidR="00000000" w:rsidDel="00000000" w:rsidP="00000000" w:rsidRDefault="00000000" w:rsidRPr="00000000" w14:paraId="0000003F">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0">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1">
      <w:pPr>
        <w:jc w:val="both"/>
        <w:rPr>
          <w:rFonts w:ascii="Courier New" w:cs="Courier New" w:eastAsia="Courier New" w:hAnsi="Courier New"/>
        </w:rPr>
      </w:pPr>
      <w:r w:rsidDel="00000000" w:rsidR="00000000" w:rsidRPr="00000000">
        <w:rPr>
          <w:rFonts w:ascii="Courier New" w:cs="Courier New" w:eastAsia="Courier New" w:hAnsi="Courier New"/>
          <w:b w:val="1"/>
          <w:rtl w:val="0"/>
        </w:rPr>
        <w:t xml:space="preserve">ARTÍCULO CUARTO.-</w:t>
      </w:r>
      <w:r w:rsidDel="00000000" w:rsidR="00000000" w:rsidRPr="00000000">
        <w:rPr>
          <w:rFonts w:ascii="Courier New" w:cs="Courier New" w:eastAsia="Courier New" w:hAnsi="Courier New"/>
          <w:rtl w:val="0"/>
        </w:rPr>
        <w:t xml:space="preserve"> Comuníquese a la Intendencia con sus considerandos, publíquese y agréguese al D.M.-</w:t>
      </w:r>
    </w:p>
    <w:p w:rsidR="00000000" w:rsidDel="00000000" w:rsidP="00000000" w:rsidRDefault="00000000" w:rsidRPr="00000000" w14:paraId="0000004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T Sans Narrow">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